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67B" w:rsidRPr="00FB4CAC" w:rsidRDefault="00E0067B" w:rsidP="00E0067B">
      <w:pPr>
        <w:jc w:val="center"/>
        <w:rPr>
          <w:b/>
          <w:caps/>
        </w:rPr>
      </w:pPr>
      <w:r w:rsidRPr="00FB4CAC">
        <w:rPr>
          <w:b/>
          <w:caps/>
        </w:rPr>
        <w:t>сравнителна таблица между старата и новата версия на ISO/IEC 17025</w:t>
      </w:r>
    </w:p>
    <w:tbl>
      <w:tblPr>
        <w:tblW w:w="14940" w:type="dxa"/>
        <w:tblInd w:w="-342" w:type="dxa"/>
        <w:tblLook w:val="04A0" w:firstRow="1" w:lastRow="0" w:firstColumn="1" w:lastColumn="0" w:noHBand="0" w:noVBand="1"/>
      </w:tblPr>
      <w:tblGrid>
        <w:gridCol w:w="1240"/>
        <w:gridCol w:w="2858"/>
        <w:gridCol w:w="1662"/>
        <w:gridCol w:w="3329"/>
        <w:gridCol w:w="2281"/>
        <w:gridCol w:w="3570"/>
      </w:tblGrid>
      <w:tr w:rsidR="00E0067B" w:rsidRPr="00095E09" w:rsidTr="001064F1">
        <w:trPr>
          <w:trHeight w:val="720"/>
          <w:tblHeader/>
        </w:trPr>
        <w:tc>
          <w:tcPr>
            <w:tcW w:w="1240" w:type="dxa"/>
            <w:tcBorders>
              <w:top w:val="single" w:sz="8" w:space="0" w:color="333399"/>
              <w:left w:val="single" w:sz="8" w:space="0" w:color="333399"/>
              <w:bottom w:val="single" w:sz="4" w:space="0" w:color="333399"/>
              <w:right w:val="single" w:sz="4" w:space="0" w:color="333399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ISO</w:t>
            </w: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/</w:t>
            </w: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en-US" w:eastAsia="en-GB"/>
              </w:rPr>
              <w:t>IEC</w:t>
            </w: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17025</w:t>
            </w:r>
          </w:p>
        </w:tc>
        <w:tc>
          <w:tcPr>
            <w:tcW w:w="2858" w:type="dxa"/>
            <w:vMerge w:val="restart"/>
            <w:tcBorders>
              <w:top w:val="single" w:sz="8" w:space="0" w:color="333399"/>
              <w:left w:val="single" w:sz="4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</w:pP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Основно съдържание</w:t>
            </w:r>
          </w:p>
        </w:tc>
        <w:tc>
          <w:tcPr>
            <w:tcW w:w="1662" w:type="dxa"/>
            <w:tcBorders>
              <w:top w:val="single" w:sz="8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ISO</w:t>
            </w: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/IEC</w:t>
            </w: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17025</w:t>
            </w:r>
          </w:p>
        </w:tc>
        <w:tc>
          <w:tcPr>
            <w:tcW w:w="3329" w:type="dxa"/>
            <w:vMerge w:val="restart"/>
            <w:tcBorders>
              <w:top w:val="single" w:sz="8" w:space="0" w:color="333399"/>
              <w:left w:val="single" w:sz="4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spellStart"/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Основно</w:t>
            </w:r>
            <w:proofErr w:type="spellEnd"/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съдържание</w:t>
            </w:r>
            <w:proofErr w:type="spellEnd"/>
          </w:p>
        </w:tc>
        <w:tc>
          <w:tcPr>
            <w:tcW w:w="2281" w:type="dxa"/>
            <w:vMerge w:val="restar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467C45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</w:pP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Ново</w:t>
            </w: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? </w:t>
            </w: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Или</w:t>
            </w: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Промяна</w:t>
            </w: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?</w:t>
            </w:r>
          </w:p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(</w:t>
            </w: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Да</w:t>
            </w: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/</w:t>
            </w: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Не</w:t>
            </w: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570" w:type="dxa"/>
            <w:tcBorders>
              <w:top w:val="single" w:sz="8" w:space="0" w:color="333399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C60A8C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 xml:space="preserve">Ако е Промяна </w:t>
            </w: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или Ново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изискване</w:t>
            </w:r>
          </w:p>
        </w:tc>
      </w:tr>
      <w:tr w:rsidR="00E0067B" w:rsidRPr="00837032" w:rsidTr="001064F1">
        <w:trPr>
          <w:trHeight w:val="276"/>
          <w:tblHeader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4" w:space="0" w:color="333399"/>
              <w:right w:val="single" w:sz="4" w:space="0" w:color="333399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067B" w:rsidRPr="00467C45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2017-11</w:t>
            </w:r>
          </w:p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(2018-01)</w:t>
            </w:r>
          </w:p>
        </w:tc>
        <w:tc>
          <w:tcPr>
            <w:tcW w:w="2858" w:type="dxa"/>
            <w:vMerge/>
            <w:tcBorders>
              <w:top w:val="single" w:sz="8" w:space="0" w:color="333399"/>
              <w:left w:val="single" w:sz="4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067B" w:rsidRPr="00467C45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2005-08</w:t>
            </w:r>
          </w:p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  <w:t>(2006-03)</w:t>
            </w:r>
          </w:p>
        </w:tc>
        <w:tc>
          <w:tcPr>
            <w:tcW w:w="3329" w:type="dxa"/>
            <w:vMerge/>
            <w:tcBorders>
              <w:top w:val="single" w:sz="8" w:space="0" w:color="333399"/>
              <w:left w:val="single" w:sz="4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281" w:type="dxa"/>
            <w:vMerge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570" w:type="dxa"/>
            <w:vMerge w:val="restart"/>
            <w:tcBorders>
              <w:top w:val="nil"/>
              <w:left w:val="single" w:sz="4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</w:pP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Основен аспект на промяната</w:t>
            </w:r>
          </w:p>
        </w:tc>
      </w:tr>
      <w:tr w:rsidR="00E0067B" w:rsidRPr="00837032" w:rsidTr="001064F1">
        <w:trPr>
          <w:trHeight w:val="288"/>
          <w:tblHeader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</w:pPr>
            <w:r w:rsidRPr="00467C45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Точка</w:t>
            </w:r>
          </w:p>
        </w:tc>
        <w:tc>
          <w:tcPr>
            <w:tcW w:w="2858" w:type="dxa"/>
            <w:vMerge/>
            <w:tcBorders>
              <w:top w:val="single" w:sz="8" w:space="0" w:color="333399"/>
              <w:left w:val="single" w:sz="4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0067B" w:rsidRPr="00C60A8C" w:rsidRDefault="00E0067B" w:rsidP="001064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</w:pPr>
            <w:r w:rsidRPr="00C60A8C">
              <w:rPr>
                <w:rFonts w:ascii="Calibri" w:eastAsia="Times New Roman" w:hAnsi="Calibri" w:cs="Calibri"/>
                <w:b/>
                <w:sz w:val="20"/>
                <w:szCs w:val="20"/>
                <w:lang w:val="bg-BG" w:eastAsia="en-GB"/>
              </w:rPr>
              <w:t>Точка</w:t>
            </w:r>
          </w:p>
        </w:tc>
        <w:tc>
          <w:tcPr>
            <w:tcW w:w="3329" w:type="dxa"/>
            <w:vMerge/>
            <w:tcBorders>
              <w:top w:val="single" w:sz="8" w:space="0" w:color="333399"/>
              <w:left w:val="single" w:sz="4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2281" w:type="dxa"/>
            <w:vMerge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570" w:type="dxa"/>
            <w:vMerge/>
            <w:tcBorders>
              <w:top w:val="nil"/>
              <w:left w:val="single" w:sz="4" w:space="0" w:color="333399"/>
              <w:bottom w:val="single" w:sz="8" w:space="0" w:color="333399"/>
              <w:right w:val="single" w:sz="8" w:space="0" w:color="333399"/>
            </w:tcBorders>
            <w:shd w:val="clear" w:color="auto" w:fill="D9D9D9" w:themeFill="background1" w:themeFillShade="D9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</w:tr>
      <w:tr w:rsidR="00E0067B" w:rsidRPr="00837032" w:rsidTr="001064F1">
        <w:trPr>
          <w:trHeight w:val="828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Предговор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</w:tcPr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Предговор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9749DE" w:rsidRDefault="00E0067B" w:rsidP="001064F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-----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Ново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издание</w:t>
            </w:r>
            <w:proofErr w:type="spellEnd"/>
          </w:p>
        </w:tc>
      </w:tr>
      <w:tr w:rsidR="00E0067B" w:rsidRPr="00837032" w:rsidTr="001064F1">
        <w:trPr>
          <w:trHeight w:val="828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Въведение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</w:tcPr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Въведение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9749DE" w:rsidRDefault="00E0067B" w:rsidP="001064F1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-----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Ново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– в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съответствие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с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стандарт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9001:2015</w:t>
            </w:r>
          </w:p>
        </w:tc>
      </w:tr>
      <w:tr w:rsidR="00E0067B" w:rsidRPr="00837032" w:rsidTr="001064F1">
        <w:trPr>
          <w:trHeight w:val="828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Обект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област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приложение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Обект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област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приложение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------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Незначителни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промени</w:t>
            </w:r>
            <w:proofErr w:type="spellEnd"/>
          </w:p>
        </w:tc>
      </w:tr>
      <w:tr w:rsidR="00E0067B" w:rsidRPr="00837032" w:rsidTr="001064F1">
        <w:trPr>
          <w:trHeight w:val="828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Нормативни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позовавания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Позоваване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------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Незначителни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промени</w:t>
            </w:r>
            <w:proofErr w:type="spellEnd"/>
          </w:p>
        </w:tc>
      </w:tr>
      <w:tr w:rsidR="00E0067B" w:rsidRPr="00837032" w:rsidTr="001064F1">
        <w:trPr>
          <w:trHeight w:val="828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Термини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определения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Термини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определения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------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</w:tcPr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Ново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Лаборатория</w:t>
            </w:r>
            <w:proofErr w:type="spellEnd"/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Безпристрастност</w:t>
            </w:r>
            <w:proofErr w:type="spellEnd"/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Жалба</w:t>
            </w:r>
            <w:proofErr w:type="spellEnd"/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- МЛСИ</w:t>
            </w:r>
          </w:p>
          <w:p w:rsidR="00E0067B" w:rsidRPr="009749DE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Правила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вземане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решения</w:t>
            </w:r>
            <w:proofErr w:type="spellEnd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9749D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т.н</w:t>
            </w:r>
            <w:proofErr w:type="spellEnd"/>
          </w:p>
        </w:tc>
      </w:tr>
      <w:tr w:rsidR="00E0067B" w:rsidRPr="00837032" w:rsidTr="001064F1">
        <w:trPr>
          <w:trHeight w:val="828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67C4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Безпристрастност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4.1.4 / 4.1.5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Организация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noWrap/>
            <w:vAlign w:val="center"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333399"/>
              <w:right w:val="single" w:sz="8" w:space="0" w:color="333399"/>
            </w:tcBorders>
            <w:shd w:val="clear" w:color="auto" w:fill="auto"/>
            <w:vAlign w:val="center"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Значителни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промени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–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оценка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риска</w:t>
            </w:r>
            <w:proofErr w:type="spellEnd"/>
          </w:p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Изясняване</w:t>
            </w:r>
            <w:proofErr w:type="spellEnd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Рисковете</w:t>
            </w:r>
            <w:proofErr w:type="spellEnd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възможностите</w:t>
            </w:r>
            <w:proofErr w:type="spellEnd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вече</w:t>
            </w:r>
            <w:proofErr w:type="spellEnd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се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оценяват и</w:t>
            </w:r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изпълняват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)</w:t>
            </w:r>
          </w:p>
        </w:tc>
      </w:tr>
      <w:tr w:rsidR="00E0067B" w:rsidRPr="00837032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4.2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Опазване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професионалната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тайна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конфиденциалност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4.1.5 c)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Организация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Изясняване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 </w:t>
            </w:r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Незначителни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промени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Засилване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ролята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ръководството</w:t>
            </w:r>
            <w:proofErr w:type="spellEnd"/>
          </w:p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Няма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висше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ръководство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структурата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4.1.1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A360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структурата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Няма значителна промяна</w:t>
            </w:r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-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Засилване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ролята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ръководството</w:t>
            </w:r>
            <w:proofErr w:type="spellEnd"/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-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Няма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висше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ръководство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Ръководство на лабораторията (ръководен персонал)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4.1.5.a/h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Техническо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ръководство (технически персонал)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Нова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структура</w:t>
            </w:r>
            <w:proofErr w:type="spellEnd"/>
          </w:p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Увеличава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се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ролята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ръководството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лабораторията</w:t>
            </w:r>
            <w:proofErr w:type="spellEnd"/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(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Използва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се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по-разбираем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термин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за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ръководството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)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Обхват на лабораторните дейности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4.2.2 b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Политика по качеството (</w:t>
            </w:r>
            <w:r w:rsidRPr="006A3605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декларация на ръководството на лабораторията относно нивото на предост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авяните услуги от лабораторията)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По-разбираеми изисквания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Съответствие със стандарта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4.2.2 e        4.2.6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Политиката по качеството</w:t>
            </w:r>
          </w:p>
          <w:p w:rsidR="00E0067B" w:rsidRPr="00AE6508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(</w:t>
            </w:r>
            <w:r w:rsidRPr="00AE6508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ангажимента на ръководството на лабораторията за съответствието й с този международен</w:t>
            </w:r>
          </w:p>
          <w:p w:rsidR="00E0067B" w:rsidRPr="00BA3C2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AE6508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стандарт и за непрекъснато подобряване на ефикасността на системата за управление.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)</w:t>
            </w:r>
          </w:p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(</w:t>
            </w:r>
            <w:r w:rsidRPr="00AE6508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В наръчника по качеството трябва да бъдат определени ролята и отговорностите на техническото ръководство и на отговорника по качеството, включително неговата отговорност за осигуряване на съответствието с този </w:t>
            </w:r>
            <w:r w:rsidRPr="00AE6508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lastRenderedPageBreak/>
              <w:t>международен стандарт.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)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lastRenderedPageBreak/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По-разбираеми</w:t>
            </w:r>
            <w:proofErr w:type="spellEnd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5.5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Вътрешната организация на лабораторията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4.1.5 d/e/f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Изисквания към организацията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Няма значителна промяна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Персонал и други ресурси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4.1.5 a/</w:t>
            </w:r>
            <w:proofErr w:type="spellStart"/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</w:t>
            </w:r>
            <w:proofErr w:type="spellEnd"/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към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организацията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 се изискват заместници повече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Комуникация (обмен на информация)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Изменения в СУ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4.1.6     4.2.7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Комуникация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обмен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информация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) /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Изменения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в СУ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Няма</w:t>
            </w:r>
            <w:proofErr w:type="spellEnd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значителна</w:t>
            </w:r>
            <w:proofErr w:type="spellEnd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A3C2D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промяна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ресурсите</w:t>
            </w:r>
            <w:proofErr w:type="spellEnd"/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Общи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положения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(5.1)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Технически изисквания</w:t>
            </w:r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Общи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положения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НОВО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Обобщени са няколко аспекта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Персонал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4.1.5 </w:t>
            </w:r>
            <w:proofErr w:type="spellStart"/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f.h</w:t>
            </w:r>
            <w:proofErr w:type="spellEnd"/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)         5.2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Организация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Персонал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Незначителни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промени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-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Структурни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 </w:t>
            </w:r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е 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задължително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определяне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ОК, ОМО, ДХ</w:t>
            </w:r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Персонал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-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оценка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риска</w:t>
            </w:r>
            <w:proofErr w:type="spellEnd"/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Мониторинг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най-</w:t>
            </w:r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малко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един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път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годишно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или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при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настъпили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промени</w:t>
            </w:r>
            <w:proofErr w:type="spellEnd"/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Надзор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и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наблюдение</w:t>
            </w:r>
            <w:proofErr w:type="spellEnd"/>
          </w:p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Процедура</w:t>
            </w:r>
            <w:proofErr w:type="spellEnd"/>
          </w:p>
          <w:p w:rsidR="00E0067B" w:rsidRPr="004E4FE6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 w:rsidRPr="004E4FE6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За първи път се споменава за наблюдение на компетентността на персонала</w:t>
            </w:r>
            <w:r w:rsidRPr="004E4FE6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 </w:t>
            </w:r>
            <w:r w:rsidRPr="004E4FE6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 се споменава за оценка за ефикасност.....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6.3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Помещения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съоръжения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лабораторията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заобикаляща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среда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Помещения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инсталации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условия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заобикалящата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среда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4251C1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Сега вече тази точка е валидна и при използването на помещения извън постоянния контрол на лабораторията </w:t>
            </w:r>
            <w:r w:rsidRPr="004251C1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(6.3.5)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Технически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средства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Технически</w:t>
            </w:r>
            <w:proofErr w:type="spellEnd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E650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средства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4251C1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включено е позоваване на  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ISO/IEC 17034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976A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Метрологична</w:t>
            </w:r>
            <w:proofErr w:type="spellEnd"/>
            <w:r w:rsidRPr="00C976A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976A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проследимост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Проследимост на измерването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F57339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 w:rsidRPr="00F57339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Цялото оборудване, което се използва за количествено измерване, трябва да бъде калибрирано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.</w:t>
            </w:r>
            <w:r w:rsidRPr="00F57339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Включен е анекс </w:t>
            </w:r>
            <w:r w:rsidRPr="00F57339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A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, който</w:t>
            </w:r>
            <w:r w:rsidRPr="00F57339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е само информативен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Продукти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услуги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доставяни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външни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доставчици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4.5 / 4.6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CF0AE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Възлагане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изпитвания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подизпълнители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/</w:t>
            </w:r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Закупуване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услуги</w:t>
            </w:r>
            <w:proofErr w:type="spellEnd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CF0AEB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доставки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Надграждане/подобряване на термините/дефинициите и на изискванията.</w:t>
            </w:r>
          </w:p>
          <w:p w:rsidR="00E0067B" w:rsidRPr="00CB601D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Ново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–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може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ползване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на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неакредитиран</w:t>
            </w:r>
            <w:proofErr w:type="spellEnd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 xml:space="preserve"> </w:t>
            </w:r>
            <w:proofErr w:type="spellStart"/>
            <w:r w:rsidRPr="00CB601D">
              <w:rPr>
                <w:rFonts w:ascii="Calibri" w:eastAsia="Times New Roman" w:hAnsi="Calibri" w:cs="Calibri"/>
                <w:sz w:val="20"/>
                <w:szCs w:val="20"/>
                <w:highlight w:val="cyan"/>
                <w:lang w:val="en-US" w:eastAsia="en-GB"/>
              </w:rPr>
              <w:t>подизпълнител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Преглед</w:t>
            </w:r>
            <w:proofErr w:type="spellEnd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запитвания</w:t>
            </w:r>
            <w:proofErr w:type="spellEnd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оферти</w:t>
            </w:r>
            <w:proofErr w:type="spellEnd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640C5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договори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Преглед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заявките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офертите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договорите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F57339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Спецификацията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или стандартът, по които се</w:t>
            </w:r>
            <w:r w:rsidRPr="00F57339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обявява</w:t>
            </w:r>
            <w:r w:rsidRPr="00F57339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съответствието трябва да бъд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ат</w:t>
            </w:r>
            <w:r w:rsidRPr="00F57339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ясно определени</w:t>
            </w:r>
          </w:p>
          <w:p w:rsidR="00E0067B" w:rsidRPr="00EF27B5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Записи</w:t>
            </w:r>
            <w:proofErr w:type="spellEnd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за</w:t>
            </w:r>
            <w:proofErr w:type="spellEnd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доставчици</w:t>
            </w:r>
            <w:proofErr w:type="spellEnd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и </w:t>
            </w:r>
            <w:proofErr w:type="spellStart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клиенти</w:t>
            </w:r>
            <w:proofErr w:type="spellEnd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- </w:t>
            </w:r>
            <w:proofErr w:type="spellStart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оценка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7.2.1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Избор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проверка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верифициране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валидиране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4422F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методи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5.4.1. / 5.4.2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 w:rsidRPr="0044422F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Методи за изпитване и калибриране. Валидиране на методите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/</w:t>
            </w:r>
            <w:r>
              <w:t xml:space="preserve"> </w:t>
            </w:r>
          </w:p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 w:rsidRPr="0044422F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Общи положения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;</w:t>
            </w:r>
          </w:p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 w:rsidRPr="0044422F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Избор на методите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F57339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По-точно, по-прецизно е изискването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7.2.2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Валидиране</w:t>
            </w:r>
            <w:proofErr w:type="spellEnd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методи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5.4.3 / 5.4.4 / 5.4.5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Методи</w:t>
            </w:r>
            <w:proofErr w:type="spellEnd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разработени</w:t>
            </w:r>
            <w:proofErr w:type="spellEnd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лабораторията</w:t>
            </w:r>
            <w:proofErr w:type="spellEnd"/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Нестандартизирани</w:t>
            </w:r>
            <w:proofErr w:type="spellEnd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методи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Валидиране</w:t>
            </w:r>
            <w:proofErr w:type="spellEnd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5745E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методите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5733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По-точно</w:t>
            </w:r>
            <w:proofErr w:type="spellEnd"/>
            <w:r w:rsidRPr="00F5733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F5733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по-прецизно</w:t>
            </w:r>
            <w:proofErr w:type="spellEnd"/>
            <w:r w:rsidRPr="00F5733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е </w:t>
            </w:r>
            <w:proofErr w:type="spellStart"/>
            <w:r w:rsidRPr="00F57339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изискването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7.3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Вземане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проби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извадки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Вземане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извадки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F57339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 w:rsidRPr="00EF27B5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 момент - дава се възможност за самостоятелна акредитация на лаборатория за пробовземане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Манипулиране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обекти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или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Манипулиране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обекти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или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F57339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Няма съществена промяна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Технически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записи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4.13.2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Технически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записи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506CC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Вече н</w:t>
            </w:r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е </w:t>
            </w:r>
            <w:proofErr w:type="spellStart"/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е</w:t>
            </w:r>
            <w:proofErr w:type="spellEnd"/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описано подробно как се осъществява</w:t>
            </w:r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корекция</w:t>
            </w:r>
            <w:proofErr w:type="spellEnd"/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506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грешки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(4.13.2.3)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167EA0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Оценяване</w:t>
            </w:r>
            <w:proofErr w:type="spellEnd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неопределeността</w:t>
            </w:r>
            <w:proofErr w:type="spellEnd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167EA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измерване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5.4.6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5.4.6</w:t>
            </w:r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ab/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Оценяване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неопределеността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измерването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 w:rsidRPr="008506CC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несигурността на измерването трябва да бъде оценена, ако е възможно (преди: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установена</w:t>
            </w:r>
            <w:r w:rsidRPr="008506CC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) и трябва да се включи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неопределеността, произлизаща от </w:t>
            </w:r>
            <w:r w:rsidRPr="008506CC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вземането на проби</w:t>
            </w:r>
          </w:p>
          <w:p w:rsidR="00E0067B" w:rsidRPr="00EF27B5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Ръководство</w:t>
            </w:r>
            <w:proofErr w:type="spellEnd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ISO /IEC 98-3 (Guide 98-3)</w:t>
            </w:r>
          </w:p>
          <w:p w:rsidR="00E0067B" w:rsidRPr="00EF27B5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серия</w:t>
            </w:r>
            <w:proofErr w:type="spellEnd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стандарти</w:t>
            </w:r>
            <w:proofErr w:type="spellEnd"/>
            <w:r w:rsidRPr="00EF27B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ISO 5725 , ISO 21748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Осигуряване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валидност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резултатите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Осигуряване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качеството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резултатите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506CC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Списъкът с изисквания е разширен / по-важното е, че този списък не съдържа думата „избор“, а „трябва да има“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7.8.1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Докладване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84F8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резултатите</w:t>
            </w:r>
            <w:proofErr w:type="spellEnd"/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–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Общи положения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5.10.1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Отчитане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резултатите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-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Общи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положения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Няма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съществена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промяна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7.8.2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Общи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докладите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(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изпитване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или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вземане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проби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извадки</w:t>
            </w:r>
            <w:proofErr w:type="spellEnd"/>
            <w:r w:rsidRPr="00CE68E3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5.10.2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Протоколи от изпитване и свидетекства/сертификати за калибриране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Няма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съществена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промяна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7.8.3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Конкретни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протоколите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5.10.3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Протоколи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Няма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съществена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промяна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7.8.4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Конкретни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свидетелствата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сертификатите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5.10.4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Свидетелства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Сертификати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6D0BCC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Текстът е намален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7.8.5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Докладване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вземането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проби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извадки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-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конкретни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5.10.2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Протоколи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свидетелства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сертификати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НОВО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6D0BCC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Изискванията за докладите за вземане на проби са описани в отделна точка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7.8.6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Докладване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обявяването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съответствие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НОВО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 текст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относно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изявленията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съответствие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(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правило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вземане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решение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)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7.8.7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Докладване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мнения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тълкувания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5.10.5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Мнения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интерпретации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6D0BCC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По-точно, по-прецизно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7.8.8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Изменения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докладите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5.10.9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Изменения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протоколите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изпитвания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свидетелствата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/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сертификатите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Няма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съществена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D0BC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промяна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Жалби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Рекламация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6D0BCC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По-подробно описание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Описанието на процеса</w:t>
            </w:r>
            <w:r w:rsidRPr="006D0BCC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трябва да бъде на разположение на заинтересованите страни и трябва да съдържа определени изисквания (например 2-ро лице)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/</w:t>
            </w:r>
            <w: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Може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привличане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външни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специалисти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за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решаване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дадена</w:t>
            </w:r>
            <w:proofErr w:type="spellEnd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DD2A15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жалба</w:t>
            </w:r>
            <w:proofErr w:type="spellEnd"/>
            <w:r w:rsidRPr="006D0BCC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/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Предоставяне на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lastRenderedPageBreak/>
              <w:t>информация на заинтересованата страна относно напредъка от разглеждането и заключенията по жалбата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7.10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Несъответстваща работа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4C1075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дейностите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които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съответстват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изискванията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изпитване</w:t>
            </w:r>
            <w:proofErr w:type="spellEnd"/>
          </w:p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и/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или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калибриране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По-точно като се взема предвид и отчитането на риска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/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Няма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превантивни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действия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7.11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данни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информацията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4.13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.1</w:t>
            </w:r>
          </w:p>
          <w:p w:rsidR="00E0067B" w:rsidRPr="008E3393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5.4.7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записите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По-подробно</w:t>
            </w:r>
            <w:proofErr w:type="spellEnd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описание</w:t>
            </w:r>
            <w:proofErr w:type="spellEnd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допълнителни</w:t>
            </w:r>
            <w:proofErr w:type="spellEnd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исквания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към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електронните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данни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, например: у</w:t>
            </w:r>
            <w:proofErr w:type="spellStart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пълномощаване</w:t>
            </w:r>
            <w:proofErr w:type="spellEnd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452F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актуализации</w:t>
            </w:r>
            <w:proofErr w:type="spellEnd"/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..</w:t>
            </w:r>
            <w:proofErr w:type="gramEnd"/>
          </w:p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Внедряване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информационни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системи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програмни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продукти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които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следва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да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бъдат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валидирани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преди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да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бъдат</w:t>
            </w:r>
            <w:proofErr w:type="spellEnd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209FE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внедрени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8.1.1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Възможности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НОВО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452F7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В предната версия (2005/2006) нямаше опцията да се избира между две възможности (А и В)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8.1.2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Възможност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A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НОВО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452F7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Възможност А бе описана в секция 4 на версия 2005 (2006) В предната версия (2005/2006)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8.1.3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Възможност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B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НОВО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452F7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В предната версия (2005/2006) не бе възможно да се вземе предвид 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ISO 9001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8.2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Документация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системата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С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истема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162A8F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Организацията, наръчникът по качеството и политиката по качеството са премахнати от тази точка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lastRenderedPageBreak/>
              <w:t>8.3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документите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системата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C1075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документите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2D2527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Редуциране на текста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записите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4.13.1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Управление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записите</w:t>
            </w:r>
            <w:proofErr w:type="spellEnd"/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–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Общи положения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Действия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за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овладяване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рисковете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възможностите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НОВО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Рисковете</w:t>
            </w:r>
            <w:proofErr w:type="spellEnd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възможностите</w:t>
            </w:r>
            <w:proofErr w:type="spellEnd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са</w:t>
            </w:r>
            <w:proofErr w:type="spellEnd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нови</w:t>
            </w:r>
            <w:proofErr w:type="spellEnd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D252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изисквания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Подобряване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4.7.2 / 4.12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/4.10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Обслужване на клиента</w:t>
            </w: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/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Превантивни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действия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/</w:t>
            </w:r>
          </w:p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Подобряване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Изискванията, отнасящи се до превантивните действия са редуцирани</w:t>
            </w:r>
          </w:p>
          <w:p w:rsidR="00E0067B" w:rsidRPr="00254238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</w:pPr>
            <w:proofErr w:type="spellStart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Получаване</w:t>
            </w:r>
            <w:proofErr w:type="spellEnd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на</w:t>
            </w:r>
            <w:proofErr w:type="spellEnd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обратна</w:t>
            </w:r>
            <w:proofErr w:type="spellEnd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инфорация</w:t>
            </w:r>
            <w:proofErr w:type="spellEnd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от</w:t>
            </w:r>
            <w:proofErr w:type="spellEnd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</w:t>
            </w:r>
            <w:proofErr w:type="spellStart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клиента</w:t>
            </w:r>
            <w:proofErr w:type="spellEnd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 xml:space="preserve"> и </w:t>
            </w:r>
            <w:proofErr w:type="spellStart"/>
            <w:r w:rsidRPr="00254238">
              <w:rPr>
                <w:rFonts w:ascii="Calibri" w:eastAsia="Times New Roman" w:hAnsi="Calibri" w:cs="Calibri"/>
                <w:sz w:val="20"/>
                <w:szCs w:val="20"/>
                <w:lang w:val="en-US" w:eastAsia="en-GB"/>
              </w:rPr>
              <w:t>персонала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8.7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Коригиращи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действия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Коригиращи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действия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По-точно</w:t>
            </w:r>
            <w:proofErr w:type="spellEnd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като се има предвид </w:t>
            </w:r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отчитане</w:t>
            </w:r>
            <w:proofErr w:type="spellEnd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на</w:t>
            </w:r>
            <w:proofErr w:type="spellEnd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рисковете</w:t>
            </w:r>
            <w:proofErr w:type="spellEnd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и </w:t>
            </w:r>
            <w:proofErr w:type="spellStart"/>
            <w:r w:rsidRPr="00F61F2A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възможностите</w:t>
            </w:r>
            <w:proofErr w:type="spellEnd"/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8.8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Вътрешни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одити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Вътрешни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одити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НЕ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F61F2A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По-точни изисквания</w:t>
            </w:r>
          </w:p>
        </w:tc>
      </w:tr>
      <w:tr w:rsidR="00E0067B" w:rsidRPr="00095E09" w:rsidTr="001064F1">
        <w:trPr>
          <w:trHeight w:val="942"/>
        </w:trPr>
        <w:tc>
          <w:tcPr>
            <w:tcW w:w="1240" w:type="dxa"/>
            <w:tcBorders>
              <w:top w:val="nil"/>
              <w:left w:val="single" w:sz="8" w:space="0" w:color="333399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8.9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Прегледи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ръководството</w:t>
            </w:r>
            <w:proofErr w:type="spellEnd"/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837032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Прегледи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от</w:t>
            </w:r>
            <w:proofErr w:type="spellEnd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04978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ръководството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333399"/>
              <w:right w:val="single" w:sz="4" w:space="0" w:color="333399"/>
            </w:tcBorders>
            <w:shd w:val="clear" w:color="auto" w:fill="auto"/>
            <w:noWrap/>
            <w:vAlign w:val="center"/>
            <w:hideMark/>
          </w:tcPr>
          <w:p w:rsidR="00E0067B" w:rsidRPr="00837032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ДА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8" w:space="0" w:color="333399"/>
              <w:right w:val="single" w:sz="8" w:space="0" w:color="333399"/>
            </w:tcBorders>
            <w:shd w:val="clear" w:color="auto" w:fill="auto"/>
            <w:vAlign w:val="center"/>
            <w:hideMark/>
          </w:tcPr>
          <w:p w:rsidR="00E0067B" w:rsidRPr="00F61F2A" w:rsidRDefault="00E0067B" w:rsidP="001064F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Промени, засягащи външни и вътрешни аспекти</w:t>
            </w:r>
            <w:r>
              <w:t xml:space="preserve"> </w:t>
            </w:r>
            <w:r w:rsidRPr="00F61F2A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като се има предвид  отчитане</w:t>
            </w:r>
            <w:r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>то</w:t>
            </w:r>
            <w:r w:rsidRPr="00F61F2A">
              <w:rPr>
                <w:rFonts w:ascii="Calibri" w:eastAsia="Times New Roman" w:hAnsi="Calibri" w:cs="Calibri"/>
                <w:sz w:val="20"/>
                <w:szCs w:val="20"/>
                <w:lang w:val="bg-BG" w:eastAsia="en-GB"/>
              </w:rPr>
              <w:t xml:space="preserve"> на рисковете и възможностите</w:t>
            </w:r>
          </w:p>
        </w:tc>
      </w:tr>
    </w:tbl>
    <w:p w:rsidR="00E0067B" w:rsidRPr="00095E09" w:rsidRDefault="00E0067B" w:rsidP="00E0067B">
      <w:pPr>
        <w:rPr>
          <w:lang w:val="en-US"/>
        </w:rPr>
      </w:pPr>
    </w:p>
    <w:p w:rsidR="00E16C92" w:rsidRPr="00E0067B" w:rsidRDefault="00E16C92">
      <w:pPr>
        <w:rPr>
          <w:lang w:val="bg-BG"/>
        </w:rPr>
      </w:pPr>
      <w:bookmarkStart w:id="0" w:name="_GoBack"/>
      <w:bookmarkEnd w:id="0"/>
    </w:p>
    <w:sectPr w:rsidR="00E16C92" w:rsidRPr="00E0067B" w:rsidSect="00FB4CAC">
      <w:footerReference w:type="default" r:id="rId7"/>
      <w:pgSz w:w="16838" w:h="11906" w:orient="landscape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FD8" w:rsidRDefault="00A46FD8" w:rsidP="00E0067B">
      <w:pPr>
        <w:spacing w:after="0" w:line="240" w:lineRule="auto"/>
      </w:pPr>
      <w:r>
        <w:separator/>
      </w:r>
    </w:p>
  </w:endnote>
  <w:endnote w:type="continuationSeparator" w:id="0">
    <w:p w:rsidR="00A46FD8" w:rsidRDefault="00A46FD8" w:rsidP="00E0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525" w:rsidRPr="00996525" w:rsidRDefault="00E0067B" w:rsidP="00996525">
    <w:pPr>
      <w:pStyle w:val="Footer"/>
      <w:tabs>
        <w:tab w:val="clear" w:pos="4513"/>
        <w:tab w:val="clear" w:pos="9026"/>
        <w:tab w:val="left" w:pos="5805"/>
      </w:tabs>
      <w:rPr>
        <w:b/>
        <w:lang w:val="bg-BG"/>
      </w:rPr>
    </w:pPr>
    <w:r>
      <w:rPr>
        <w:b/>
        <w:lang w:val="bg-BG"/>
      </w:rPr>
      <w:t>Сдружение ССЛСБ</w:t>
    </w:r>
    <w:r w:rsidR="00A46FD8">
      <w:rPr>
        <w:b/>
        <w:lang w:val="bg-BG"/>
      </w:rPr>
      <w:tab/>
    </w:r>
    <w:r w:rsidR="00A46FD8">
      <w:rPr>
        <w:b/>
        <w:lang w:val="bg-BG"/>
      </w:rPr>
      <w:tab/>
    </w:r>
    <w:r w:rsidR="00A46FD8">
      <w:rPr>
        <w:b/>
        <w:lang w:val="bg-BG"/>
      </w:rPr>
      <w:tab/>
    </w:r>
    <w:r w:rsidR="00A46FD8">
      <w:rPr>
        <w:b/>
        <w:lang w:val="bg-BG"/>
      </w:rPr>
      <w:tab/>
    </w:r>
    <w:r w:rsidR="00A46FD8">
      <w:rPr>
        <w:b/>
        <w:lang w:val="bg-BG"/>
      </w:rPr>
      <w:tab/>
    </w:r>
    <w:r w:rsidR="00A46FD8">
      <w:rPr>
        <w:b/>
        <w:lang w:val="bg-BG"/>
      </w:rPr>
      <w:tab/>
    </w:r>
    <w:r w:rsidR="00A46FD8">
      <w:rPr>
        <w:b/>
        <w:lang w:val="bg-BG"/>
      </w:rPr>
      <w:tab/>
    </w:r>
    <w:r w:rsidR="00A46FD8">
      <w:rPr>
        <w:b/>
        <w:lang w:val="bg-BG"/>
      </w:rPr>
      <w:tab/>
    </w:r>
    <w:r w:rsidR="00A46FD8">
      <w:rPr>
        <w:b/>
        <w:lang w:val="bg-BG"/>
      </w:rPr>
      <w:tab/>
      <w:t>Страница</w:t>
    </w:r>
    <w:r w:rsidR="00A46FD8" w:rsidRPr="00996525">
      <w:rPr>
        <w:b/>
        <w:lang w:val="bg-BG"/>
      </w:rPr>
      <w:t xml:space="preserve"> </w:t>
    </w:r>
    <w:r w:rsidR="00A46FD8" w:rsidRPr="00996525">
      <w:rPr>
        <w:b/>
        <w:lang w:val="bg-BG"/>
      </w:rPr>
      <w:fldChar w:fldCharType="begin"/>
    </w:r>
    <w:r w:rsidR="00A46FD8" w:rsidRPr="00996525">
      <w:rPr>
        <w:b/>
        <w:lang w:val="bg-BG"/>
      </w:rPr>
      <w:instrText xml:space="preserve"> PAGE  \* Arabic  \* MERGEFORMAT </w:instrText>
    </w:r>
    <w:r w:rsidR="00A46FD8" w:rsidRPr="00996525">
      <w:rPr>
        <w:b/>
        <w:lang w:val="bg-BG"/>
      </w:rPr>
      <w:fldChar w:fldCharType="separate"/>
    </w:r>
    <w:r>
      <w:rPr>
        <w:b/>
        <w:noProof/>
        <w:lang w:val="bg-BG"/>
      </w:rPr>
      <w:t>8</w:t>
    </w:r>
    <w:r w:rsidR="00A46FD8" w:rsidRPr="00996525">
      <w:rPr>
        <w:b/>
        <w:lang w:val="bg-BG"/>
      </w:rPr>
      <w:fldChar w:fldCharType="end"/>
    </w:r>
    <w:r w:rsidR="00A46FD8" w:rsidRPr="00996525">
      <w:rPr>
        <w:b/>
        <w:lang w:val="bg-BG"/>
      </w:rPr>
      <w:t xml:space="preserve"> </w:t>
    </w:r>
    <w:r w:rsidR="00A46FD8">
      <w:rPr>
        <w:b/>
        <w:lang w:val="bg-BG"/>
      </w:rPr>
      <w:t>от</w:t>
    </w:r>
    <w:r w:rsidR="00A46FD8" w:rsidRPr="00996525">
      <w:rPr>
        <w:b/>
        <w:lang w:val="bg-BG"/>
      </w:rPr>
      <w:t xml:space="preserve"> </w:t>
    </w:r>
    <w:r w:rsidR="00A46FD8" w:rsidRPr="00996525">
      <w:rPr>
        <w:b/>
        <w:lang w:val="bg-BG"/>
      </w:rPr>
      <w:fldChar w:fldCharType="begin"/>
    </w:r>
    <w:r w:rsidR="00A46FD8" w:rsidRPr="00996525">
      <w:rPr>
        <w:b/>
        <w:lang w:val="bg-BG"/>
      </w:rPr>
      <w:instrText xml:space="preserve"> NUMPAGES  \* Arabic  \* MERGEFORMAT </w:instrText>
    </w:r>
    <w:r w:rsidR="00A46FD8" w:rsidRPr="00996525">
      <w:rPr>
        <w:b/>
        <w:lang w:val="bg-BG"/>
      </w:rPr>
      <w:fldChar w:fldCharType="separate"/>
    </w:r>
    <w:r>
      <w:rPr>
        <w:b/>
        <w:noProof/>
        <w:lang w:val="bg-BG"/>
      </w:rPr>
      <w:t>8</w:t>
    </w:r>
    <w:r w:rsidR="00A46FD8" w:rsidRPr="00996525">
      <w:rPr>
        <w:b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FD8" w:rsidRDefault="00A46FD8" w:rsidP="00E0067B">
      <w:pPr>
        <w:spacing w:after="0" w:line="240" w:lineRule="auto"/>
      </w:pPr>
      <w:r>
        <w:separator/>
      </w:r>
    </w:p>
  </w:footnote>
  <w:footnote w:type="continuationSeparator" w:id="0">
    <w:p w:rsidR="00A46FD8" w:rsidRDefault="00A46FD8" w:rsidP="00E00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7B"/>
    <w:rsid w:val="00A46FD8"/>
    <w:rsid w:val="00E0067B"/>
    <w:rsid w:val="00E1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67B"/>
  </w:style>
  <w:style w:type="paragraph" w:styleId="Header">
    <w:name w:val="header"/>
    <w:basedOn w:val="Normal"/>
    <w:link w:val="HeaderChar"/>
    <w:uiPriority w:val="99"/>
    <w:unhideWhenUsed/>
    <w:rsid w:val="00E00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67B"/>
  </w:style>
  <w:style w:type="paragraph" w:styleId="Header">
    <w:name w:val="header"/>
    <w:basedOn w:val="Normal"/>
    <w:link w:val="HeaderChar"/>
    <w:uiPriority w:val="99"/>
    <w:unhideWhenUsed/>
    <w:rsid w:val="00E00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</dc:creator>
  <cp:lastModifiedBy>VALENTIN</cp:lastModifiedBy>
  <cp:revision>1</cp:revision>
  <dcterms:created xsi:type="dcterms:W3CDTF">2018-04-25T09:07:00Z</dcterms:created>
  <dcterms:modified xsi:type="dcterms:W3CDTF">2018-04-25T09:08:00Z</dcterms:modified>
</cp:coreProperties>
</file>